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DBDB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3B0757">
        <w:rPr>
          <w:rFonts w:ascii="Montserrat" w:hAnsi="Montserrat"/>
        </w:rPr>
        <w:t>MATR</w:t>
      </w:r>
      <w:r w:rsidR="00A94A4E" w:rsidRPr="003B0757">
        <w:rPr>
          <w:rFonts w:ascii="Montserrat" w:hAnsi="Montserrat"/>
        </w:rPr>
        <w:t>I</w:t>
      </w:r>
      <w:r w:rsidR="00896F36">
        <w:rPr>
          <w:rFonts w:ascii="Montserrat" w:hAnsi="Montserrat"/>
        </w:rPr>
        <w:t xml:space="preserve">Z DE INDICADORES </w:t>
      </w:r>
      <w:r w:rsidR="00896F36" w:rsidRPr="00612BC9">
        <w:rPr>
          <w:rFonts w:ascii="Montserrat" w:hAnsi="Montserrat"/>
        </w:rPr>
        <w:t>2</w:t>
      </w:r>
      <w:r w:rsidR="00FE0233" w:rsidRPr="00612BC9">
        <w:rPr>
          <w:rFonts w:ascii="Montserrat" w:hAnsi="Montserrat"/>
        </w:rPr>
        <w:t>0</w:t>
      </w:r>
      <w:r w:rsidR="00921114" w:rsidRPr="00612BC9">
        <w:rPr>
          <w:rFonts w:ascii="Montserrat" w:hAnsi="Montserrat"/>
        </w:rPr>
        <w:t>2</w:t>
      </w:r>
      <w:r w:rsidR="00316FD3">
        <w:rPr>
          <w:rFonts w:ascii="Montserrat" w:hAnsi="Montserrat"/>
        </w:rPr>
        <w:t>6</w:t>
      </w:r>
    </w:p>
    <w:p w14:paraId="57CC1156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DEL PROGRAMA </w:t>
      </w:r>
      <w:r w:rsidR="0081005C">
        <w:rPr>
          <w:rFonts w:ascii="Montserrat" w:hAnsi="Montserrat"/>
        </w:rPr>
        <w:t>E031</w:t>
      </w:r>
      <w:r w:rsidR="00DE42EC" w:rsidRPr="00612BC9">
        <w:rPr>
          <w:rFonts w:ascii="Montserrat" w:hAnsi="Montserrat"/>
        </w:rPr>
        <w:t xml:space="preserve"> “</w:t>
      </w:r>
      <w:r w:rsidR="0081005C">
        <w:rPr>
          <w:rFonts w:ascii="Montserrat" w:hAnsi="Montserrat"/>
        </w:rPr>
        <w:t xml:space="preserve">SERVICIOS DE </w:t>
      </w:r>
      <w:r w:rsidR="00A878C9" w:rsidRPr="00612BC9">
        <w:rPr>
          <w:rFonts w:ascii="Montserrat" w:hAnsi="Montserrat"/>
        </w:rPr>
        <w:t>ATENCIÓN A LA SALUD</w:t>
      </w:r>
      <w:r w:rsidR="00DE42EC" w:rsidRPr="00612BC9">
        <w:rPr>
          <w:rFonts w:ascii="Montserrat" w:hAnsi="Montserrat"/>
        </w:rPr>
        <w:t>”</w:t>
      </w:r>
    </w:p>
    <w:p w14:paraId="4AC1F399" w14:textId="77777777" w:rsidR="006236D8" w:rsidRPr="0081005C" w:rsidRDefault="006236D8" w:rsidP="006236D8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>FICHA TÉCNICA</w:t>
      </w:r>
      <w:r w:rsidR="003E02C5" w:rsidRPr="00612BC9">
        <w:rPr>
          <w:rFonts w:ascii="Montserrat" w:hAnsi="Montserrat"/>
        </w:rPr>
        <w:t xml:space="preserve"> </w:t>
      </w:r>
      <w:r w:rsidR="0081005C">
        <w:rPr>
          <w:rFonts w:ascii="Montserrat" w:hAnsi="Montserrat"/>
        </w:rPr>
        <w:t>A</w:t>
      </w:r>
      <w:r w:rsidR="0081005C" w:rsidRPr="0081005C">
        <w:rPr>
          <w:rFonts w:ascii="Montserrat" w:hAnsi="Montserrat"/>
          <w:caps/>
        </w:rPr>
        <w:t>gosto 5 de 2025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94"/>
        <w:gridCol w:w="822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75806079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0DAB08E1" w14:textId="77777777" w:rsidR="00535617" w:rsidRPr="003B0757" w:rsidRDefault="00C8671A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Índice de utilización de consultorio</w:t>
            </w:r>
          </w:p>
        </w:tc>
      </w:tr>
      <w:tr w:rsidR="008325CB" w:rsidRPr="003B0757" w14:paraId="3CBDB4C8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5901FFC3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2FE1CC4A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54CD276F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5D6EB1CD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7AA7F590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18848B54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4D14617B" w14:textId="77777777" w:rsidTr="003B0757">
        <w:tc>
          <w:tcPr>
            <w:tcW w:w="11766" w:type="dxa"/>
            <w:gridSpan w:val="24"/>
          </w:tcPr>
          <w:p w14:paraId="04670442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7F1B157D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3B0757" w14:paraId="47B50FD9" w14:textId="77777777" w:rsidTr="003B0757">
        <w:tc>
          <w:tcPr>
            <w:tcW w:w="4951" w:type="dxa"/>
            <w:gridSpan w:val="9"/>
          </w:tcPr>
          <w:p w14:paraId="21EC9C4E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0D35100A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37E56D9E" w14:textId="77777777" w:rsidTr="003B0757">
        <w:tc>
          <w:tcPr>
            <w:tcW w:w="11766" w:type="dxa"/>
            <w:gridSpan w:val="24"/>
          </w:tcPr>
          <w:p w14:paraId="082DC4DD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5EE5FB45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685AB03C" w14:textId="77777777" w:rsidTr="003B0757">
        <w:tc>
          <w:tcPr>
            <w:tcW w:w="11766" w:type="dxa"/>
            <w:gridSpan w:val="24"/>
          </w:tcPr>
          <w:p w14:paraId="77AB2149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7B28D405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7FE0504E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7A27E7B4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67F0D288" w14:textId="77777777" w:rsidR="00E23603" w:rsidRPr="003B0757" w:rsidRDefault="00C8671A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COMPONENTE: Atención hospitalizada y ambulatoria otorgada</w:t>
            </w:r>
          </w:p>
          <w:p w14:paraId="1CC9AC36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5025F758" w14:textId="77777777" w:rsidTr="003B0757">
        <w:tc>
          <w:tcPr>
            <w:tcW w:w="11766" w:type="dxa"/>
            <w:gridSpan w:val="24"/>
            <w:shd w:val="clear" w:color="auto" w:fill="C00000"/>
          </w:tcPr>
          <w:p w14:paraId="5B75C57B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4A34C2D3" w14:textId="77777777" w:rsidTr="003B0757">
        <w:tc>
          <w:tcPr>
            <w:tcW w:w="5311" w:type="dxa"/>
            <w:gridSpan w:val="11"/>
          </w:tcPr>
          <w:p w14:paraId="5B8EC7E1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0F96E592" w14:textId="77777777" w:rsidR="00647733" w:rsidRPr="003B0757" w:rsidRDefault="00C8671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01" w:type="dxa"/>
            <w:gridSpan w:val="7"/>
          </w:tcPr>
          <w:p w14:paraId="2AF1DBEC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1B8EA3F6" w14:textId="31D2B784" w:rsidR="00647733" w:rsidRPr="003B0757" w:rsidRDefault="006F43A4" w:rsidP="0035449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1.1.1.1</w:t>
            </w:r>
          </w:p>
        </w:tc>
      </w:tr>
      <w:tr w:rsidR="00647733" w:rsidRPr="003B0757" w14:paraId="0D08153F" w14:textId="77777777" w:rsidTr="003B0757">
        <w:tc>
          <w:tcPr>
            <w:tcW w:w="5311" w:type="dxa"/>
            <w:gridSpan w:val="11"/>
          </w:tcPr>
          <w:p w14:paraId="6522E3CE" w14:textId="77777777" w:rsidR="00AA60C2" w:rsidRPr="003B0757" w:rsidRDefault="00C8671A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>Índice de utilización de consultorio</w:t>
            </w:r>
          </w:p>
        </w:tc>
        <w:tc>
          <w:tcPr>
            <w:tcW w:w="236" w:type="dxa"/>
            <w:gridSpan w:val="2"/>
            <w:vMerge/>
          </w:tcPr>
          <w:p w14:paraId="068A36CC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7F64E53B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CBB0051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</w:tr>
      <w:tr w:rsidR="00507DF3" w:rsidRPr="003B0757" w14:paraId="1BA9976B" w14:textId="77777777" w:rsidTr="003B0757">
        <w:tc>
          <w:tcPr>
            <w:tcW w:w="5311" w:type="dxa"/>
            <w:gridSpan w:val="11"/>
          </w:tcPr>
          <w:p w14:paraId="0A23C1FF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18D5F848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3A28ED0" w14:textId="77777777" w:rsidR="00507DF3" w:rsidRPr="003B0757" w:rsidRDefault="00C8671A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Eficiencia</w:t>
            </w:r>
          </w:p>
          <w:p w14:paraId="6E4DA54A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33CAFF05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0DA63577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3C5DD71E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7127F46" w14:textId="3DB9BD8C" w:rsidR="00202917" w:rsidRPr="003B0757" w:rsidRDefault="00C8671A" w:rsidP="00737B5E">
            <w:pPr>
              <w:rPr>
                <w:rFonts w:ascii="Montserrat" w:hAnsi="Montserrat" w:cs="Arial"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sz w:val="20"/>
                <w:szCs w:val="20"/>
              </w:rPr>
              <w:t xml:space="preserve">Es la relación entre el tiempo que se utiliza un </w:t>
            </w:r>
            <w:r w:rsidR="0027555D">
              <w:rPr>
                <w:rFonts w:ascii="Montserrat" w:hAnsi="Montserrat" w:cs="Arial"/>
                <w:sz w:val="20"/>
                <w:szCs w:val="20"/>
              </w:rPr>
              <w:t>consultorio</w:t>
            </w:r>
            <w:r w:rsidRPr="00C8671A">
              <w:rPr>
                <w:rFonts w:ascii="Montserrat" w:hAnsi="Montserrat" w:cs="Arial"/>
                <w:sz w:val="20"/>
                <w:szCs w:val="20"/>
              </w:rPr>
              <w:t xml:space="preserve"> y el número de salas donde se podrían realizar procedimientos </w:t>
            </w:r>
          </w:p>
        </w:tc>
      </w:tr>
      <w:tr w:rsidR="00507DF3" w:rsidRPr="003B0757" w14:paraId="1F2CB54E" w14:textId="77777777" w:rsidTr="00C8671A">
        <w:trPr>
          <w:trHeight w:val="1754"/>
        </w:trPr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5422A86E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50A46584" w14:textId="77777777" w:rsidR="009A5F27" w:rsidRPr="003B0757" w:rsidRDefault="009A5F27" w:rsidP="00BA2BF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9754DBF" w14:textId="77777777" w:rsidR="002A2CA7" w:rsidRDefault="00C8671A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Sumatoria de tiempos de cada consulta (horas) </w:t>
            </w:r>
            <w:proofErr w:type="gramStart"/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>/</w:t>
            </w:r>
            <w:r w:rsidR="00BE72AD">
              <w:rPr>
                <w:rFonts w:ascii="Montserrat" w:hAnsi="Montserrat" w:cs="Arial"/>
                <w:bCs/>
                <w:sz w:val="20"/>
                <w:szCs w:val="20"/>
              </w:rPr>
              <w:t>(</w:t>
            </w:r>
            <w:proofErr w:type="gramEnd"/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>Número de consultorios x Horas hábiles del periodo</w:t>
            </w:r>
            <w:r w:rsidR="00BE72AD"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36AAFF4F" w14:textId="77777777" w:rsidR="002A2CA7" w:rsidRDefault="002A2CA7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DD765D3" w14:textId="5911532A" w:rsidR="00C8671A" w:rsidRDefault="002A2CA7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C8671A" w:rsidRPr="00C8671A">
              <w:rPr>
                <w:rFonts w:ascii="Montserrat" w:hAnsi="Montserrat" w:cs="Arial"/>
                <w:bCs/>
                <w:sz w:val="20"/>
                <w:szCs w:val="20"/>
              </w:rPr>
              <w:t>(días hábiles x horas hábiles de la</w:t>
            </w:r>
          </w:p>
          <w:p w14:paraId="5B6A2691" w14:textId="77777777" w:rsidR="00DE42EC" w:rsidRPr="003B0757" w:rsidRDefault="00C8671A" w:rsidP="00C8671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 jornada)</w:t>
            </w:r>
          </w:p>
        </w:tc>
        <w:tc>
          <w:tcPr>
            <w:tcW w:w="236" w:type="dxa"/>
            <w:gridSpan w:val="2"/>
            <w:vMerge/>
          </w:tcPr>
          <w:p w14:paraId="12567D7E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1B190512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29E44328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4F1112D" w14:textId="77777777" w:rsidR="00507DF3" w:rsidRPr="003B0757" w:rsidRDefault="00C8671A" w:rsidP="00C8671A">
            <w:pPr>
              <w:rPr>
                <w:rFonts w:ascii="Montserrat" w:hAnsi="Montserrat" w:cs="Arial"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sz w:val="20"/>
                <w:szCs w:val="20"/>
              </w:rPr>
              <w:t>Indíce</w:t>
            </w:r>
            <w:r w:rsidR="00BA2BF8" w:rsidRPr="003B0757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647733" w:rsidRPr="003B0757" w14:paraId="580540A8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11342F88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1A101EBE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7782A8C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03A14AAE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5C8E5A5A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5C2D090F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46C16089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5B8D4921" w14:textId="77777777" w:rsidTr="003B0757">
        <w:tc>
          <w:tcPr>
            <w:tcW w:w="11766" w:type="dxa"/>
            <w:gridSpan w:val="24"/>
            <w:shd w:val="clear" w:color="auto" w:fill="C00000"/>
          </w:tcPr>
          <w:p w14:paraId="5DBA9FB2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6AF359A3" w14:textId="77777777" w:rsidTr="003B0757">
        <w:tc>
          <w:tcPr>
            <w:tcW w:w="1891" w:type="dxa"/>
          </w:tcPr>
          <w:p w14:paraId="563B4C2E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3BE66EB5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1231E21C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1EBC032C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2DD26EE6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7CF54511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6867A35F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5649112D" w14:textId="77777777" w:rsidTr="003B0757">
        <w:tc>
          <w:tcPr>
            <w:tcW w:w="1891" w:type="dxa"/>
            <w:vAlign w:val="center"/>
          </w:tcPr>
          <w:p w14:paraId="14C2B229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0C3990C3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17732F5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38EC7779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62B02663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1ABD7E1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729B98FD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595F7187" w14:textId="77777777" w:rsidTr="003B0757">
        <w:tc>
          <w:tcPr>
            <w:tcW w:w="11766" w:type="dxa"/>
            <w:gridSpan w:val="24"/>
          </w:tcPr>
          <w:p w14:paraId="4C24E182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3DEC233A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7102A3C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3231022F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D2D9C5E" w14:textId="554B520A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>Es un indicador que permite conocer el nivel de utilización real de los consultorios médicos. Tiene en cuenta la cantidad de horas hábiles dentro de las instituciones y el n</w:t>
            </w:r>
            <w:r w:rsidR="001202B7">
              <w:rPr>
                <w:rFonts w:ascii="Montserrat" w:hAnsi="Montserrat" w:cs="Arial"/>
                <w:bCs/>
                <w:sz w:val="18"/>
                <w:szCs w:val="18"/>
              </w:rPr>
              <w:t>ú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>mero de horas reales utilizadas</w:t>
            </w:r>
          </w:p>
          <w:p w14:paraId="79D48D13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A350451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0EF37F5B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E697710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1F0972B6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882780C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50444C95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73AE35E" w14:textId="559703D5" w:rsidR="00DD36E1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permitiendo conocer </w:t>
            </w:r>
            <w:r w:rsidR="001202B7">
              <w:rPr>
                <w:rFonts w:ascii="Montserrat" w:hAnsi="Montserrat" w:cs="Arial"/>
                <w:bCs/>
                <w:sz w:val="18"/>
                <w:szCs w:val="18"/>
              </w:rPr>
              <w:t>cuánto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 tiempo más podría utilizarse este consultorio o no.</w:t>
            </w:r>
          </w:p>
          <w:p w14:paraId="593174EC" w14:textId="77777777" w:rsidR="00DE42EC" w:rsidRPr="003B0757" w:rsidRDefault="00DE42EC" w:rsidP="007F0C2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3B0757" w14:paraId="50932C41" w14:textId="77777777" w:rsidTr="003B0757">
        <w:tc>
          <w:tcPr>
            <w:tcW w:w="11766" w:type="dxa"/>
            <w:gridSpan w:val="24"/>
          </w:tcPr>
          <w:p w14:paraId="3D93222F" w14:textId="77777777" w:rsidR="005E6741" w:rsidRPr="003B0757" w:rsidRDefault="00AA719A" w:rsidP="00C867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19A" w:rsidRPr="003B0757" w14:paraId="0FD843AF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3915A8E2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0EFCB5D4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5975F7EF" w14:textId="77777777" w:rsidTr="003B0757">
        <w:tc>
          <w:tcPr>
            <w:tcW w:w="11766" w:type="dxa"/>
            <w:gridSpan w:val="24"/>
            <w:shd w:val="clear" w:color="auto" w:fill="C00000"/>
          </w:tcPr>
          <w:p w14:paraId="76A956DB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3B0757" w14:paraId="136F6AC3" w14:textId="77777777" w:rsidTr="003B0757">
        <w:trPr>
          <w:trHeight w:val="274"/>
        </w:trPr>
        <w:tc>
          <w:tcPr>
            <w:tcW w:w="5359" w:type="dxa"/>
            <w:gridSpan w:val="12"/>
          </w:tcPr>
          <w:p w14:paraId="1DB566B7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53323A9E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48FFABD2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1FD8ED61" w14:textId="77777777" w:rsidTr="00563900">
        <w:trPr>
          <w:trHeight w:val="274"/>
        </w:trPr>
        <w:tc>
          <w:tcPr>
            <w:tcW w:w="1985" w:type="dxa"/>
            <w:gridSpan w:val="2"/>
          </w:tcPr>
          <w:p w14:paraId="345F7BA7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822" w:type="dxa"/>
          </w:tcPr>
          <w:p w14:paraId="4E179414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79989802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6E0C6F46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6E15B5A8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1E6D728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49B6D53E" w14:textId="77777777" w:rsidTr="00563900">
        <w:trPr>
          <w:trHeight w:val="274"/>
        </w:trPr>
        <w:tc>
          <w:tcPr>
            <w:tcW w:w="1985" w:type="dxa"/>
            <w:gridSpan w:val="2"/>
            <w:vAlign w:val="center"/>
          </w:tcPr>
          <w:p w14:paraId="60175F87" w14:textId="77777777" w:rsidR="00013FE4" w:rsidRPr="003B0757" w:rsidRDefault="0056390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Es un indicador de nueva creación,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por lo que no se cuenta con líne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a base</w:t>
            </w:r>
          </w:p>
        </w:tc>
        <w:tc>
          <w:tcPr>
            <w:tcW w:w="822" w:type="dxa"/>
            <w:vAlign w:val="center"/>
          </w:tcPr>
          <w:p w14:paraId="7BB8AE35" w14:textId="77777777" w:rsidR="00013FE4" w:rsidRPr="003B0757" w:rsidRDefault="00E76E7D" w:rsidP="0056390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9"/>
            <w:vAlign w:val="center"/>
          </w:tcPr>
          <w:p w14:paraId="7700243B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5B7AEABC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158C1F84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3BA1D00A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3B0757" w14:paraId="2C9573DB" w14:textId="77777777" w:rsidTr="003B0757">
        <w:trPr>
          <w:trHeight w:val="274"/>
        </w:trPr>
        <w:tc>
          <w:tcPr>
            <w:tcW w:w="5359" w:type="dxa"/>
            <w:gridSpan w:val="12"/>
          </w:tcPr>
          <w:p w14:paraId="061F7B8D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00D38367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4D64BC37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4415057E" w14:textId="77777777" w:rsidTr="003B0757">
        <w:trPr>
          <w:trHeight w:val="274"/>
        </w:trPr>
        <w:tc>
          <w:tcPr>
            <w:tcW w:w="5359" w:type="dxa"/>
            <w:gridSpan w:val="12"/>
          </w:tcPr>
          <w:p w14:paraId="7C8A70BF" w14:textId="77777777" w:rsidR="00D5103F" w:rsidRPr="003B0757" w:rsidRDefault="00563900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66144792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330A935E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37C44322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7F503BDA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1003422D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758090CE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60402D77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191D072C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09A8EDC4" w14:textId="77777777" w:rsidR="00D36E16" w:rsidRPr="003B0757" w:rsidRDefault="00415144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.85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&lt;</w:t>
            </w:r>
            <w:r w:rsidR="00D36E16" w:rsidRPr="003B075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 &lt;= 1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.15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30B63652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7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&lt;=X&lt;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8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5</w:t>
            </w:r>
          </w:p>
          <w:p w14:paraId="594EB184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3AFD0AF7" w14:textId="77777777" w:rsidR="00D36E16" w:rsidRPr="003B0757" w:rsidRDefault="00415144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1.15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&lt;X &lt;= 1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.30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9A82CB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X&lt;0.7</w:t>
            </w:r>
          </w:p>
          <w:p w14:paraId="7A987026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451349CE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X&gt;1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.30</w:t>
            </w:r>
          </w:p>
        </w:tc>
      </w:tr>
      <w:tr w:rsidR="00940525" w:rsidRPr="003B0757" w14:paraId="0A7C8426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680E5FC2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529CBE13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65E66425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56096218" w14:textId="77777777" w:rsidTr="003B0757">
        <w:trPr>
          <w:trHeight w:val="148"/>
        </w:trPr>
        <w:tc>
          <w:tcPr>
            <w:tcW w:w="6031" w:type="dxa"/>
            <w:gridSpan w:val="16"/>
          </w:tcPr>
          <w:p w14:paraId="6234C88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1DFEA76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4D6926FC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715CD5BB" w14:textId="77777777" w:rsidTr="003B0757">
        <w:trPr>
          <w:trHeight w:val="483"/>
        </w:trPr>
        <w:tc>
          <w:tcPr>
            <w:tcW w:w="6031" w:type="dxa"/>
            <w:gridSpan w:val="16"/>
          </w:tcPr>
          <w:p w14:paraId="410516AC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7B43AA29" w14:textId="77777777" w:rsidR="00415144" w:rsidRDefault="00415144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Sumatoria de tiempos de cada consulta (horas) </w:t>
            </w:r>
          </w:p>
          <w:p w14:paraId="6DE3D363" w14:textId="77777777" w:rsidR="00940525" w:rsidRPr="003B0757" w:rsidRDefault="009A5F27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768503D2" w14:textId="3982D7A2" w:rsidR="00D116AF" w:rsidRDefault="00D116AF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(</w:t>
            </w:r>
            <w:r w:rsidR="00415144"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Número de consultorios x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Horas hábiles del periodo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13E2D955" w14:textId="77777777" w:rsidR="00D116AF" w:rsidRDefault="00D116AF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8317DC4" w14:textId="67F09722" w:rsidR="00C9151A" w:rsidRPr="00415144" w:rsidRDefault="00415144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(días </w:t>
            </w: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>hábiles x horas hábiles de la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C8671A">
              <w:rPr>
                <w:rFonts w:ascii="Montserrat" w:hAnsi="Montserrat" w:cs="Arial"/>
                <w:bCs/>
                <w:sz w:val="20"/>
                <w:szCs w:val="20"/>
              </w:rPr>
              <w:t>jornada)</w:t>
            </w:r>
          </w:p>
        </w:tc>
        <w:tc>
          <w:tcPr>
            <w:tcW w:w="236" w:type="dxa"/>
            <w:vMerge/>
          </w:tcPr>
          <w:p w14:paraId="7DB2AB54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4A63C1A2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008311A" w14:textId="77777777" w:rsidR="00EB3FC1" w:rsidRDefault="00EB3FC1" w:rsidP="00E41B38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V1: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Es la suma del tiempo total de consultas ocurridas en consultorios médicos medidas en horas, que se realizaron durante el período de tiempo, en el caso que nos corresponde de forma trimestral</w:t>
            </w:r>
          </w:p>
          <w:p w14:paraId="055096B4" w14:textId="4BEBC1EA" w:rsidR="00DE42EC" w:rsidRPr="003B0757" w:rsidRDefault="00EB3FC1" w:rsidP="00E41B38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V2: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Es el resultado de la multiplicación del número total </w:t>
            </w:r>
            <w:r w:rsidR="00FA6872">
              <w:rPr>
                <w:rFonts w:ascii="Montserrat" w:hAnsi="Montserrat" w:cs="Arial"/>
                <w:bCs/>
                <w:sz w:val="20"/>
                <w:szCs w:val="20"/>
              </w:rPr>
              <w:t>d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e consultorios por las horas hábiles en las que trabaja el hospital.</w:t>
            </w:r>
          </w:p>
          <w:p w14:paraId="7FB22C5D" w14:textId="77777777" w:rsidR="009A5F27" w:rsidRPr="003B0757" w:rsidRDefault="009A5F27" w:rsidP="00E41B38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3B0757" w14:paraId="0A88F0F5" w14:textId="77777777" w:rsidTr="003B0757">
        <w:trPr>
          <w:trHeight w:val="285"/>
        </w:trPr>
        <w:tc>
          <w:tcPr>
            <w:tcW w:w="6031" w:type="dxa"/>
            <w:gridSpan w:val="16"/>
          </w:tcPr>
          <w:p w14:paraId="11806125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051B85D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BE926FA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47278E09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429099F5" w14:textId="77777777" w:rsidR="00AC1482" w:rsidRPr="003A52A5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06F1343" w14:textId="77777777" w:rsidR="00D96435" w:rsidRPr="00EB3FC1" w:rsidRDefault="007B3171" w:rsidP="00524110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</w:t>
            </w:r>
            <w:r w:rsidR="000B4C88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CINSHAE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Inf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="00D93583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D3371D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202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.</w:t>
            </w:r>
            <w:r w:rsidR="00D96435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0042C138" w14:textId="77777777" w:rsidR="00415144" w:rsidRP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15144">
              <w:rPr>
                <w:rFonts w:ascii="Montserrat" w:hAnsi="Montserrat" w:cs="Arial"/>
                <w:bCs/>
                <w:sz w:val="20"/>
                <w:szCs w:val="20"/>
              </w:rPr>
              <w:t>Índice de utilización de consultorio</w:t>
            </w:r>
          </w:p>
          <w:p w14:paraId="1BFB2696" w14:textId="77777777" w:rsid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D04068A" w14:textId="77777777" w:rsidR="009117A0" w:rsidRPr="003B122A" w:rsidRDefault="000B4C88" w:rsidP="009117A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B122A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7A3C16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</w:t>
            </w:r>
            <w:r w:rsidR="001624EE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ccinshae</w:t>
            </w:r>
            <w:r w:rsidR="007A3C16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.gob.mx/</w:t>
            </w:r>
            <w:r w:rsidR="001624EE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DCPE/E023</w:t>
            </w:r>
            <w:r w:rsidR="007A3C16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/</w:t>
            </w:r>
            <w:r w:rsidR="009117A0" w:rsidRPr="003B122A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9117A0"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https://ccinshae.gob.mx/DCPE/E023/Índice de utilización de consultorio</w:t>
            </w:r>
          </w:p>
          <w:p w14:paraId="6E7B86EA" w14:textId="77777777" w:rsidR="000B4C88" w:rsidRPr="003A52A5" w:rsidRDefault="000B4C88" w:rsidP="0066132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3F3B459" w14:textId="77777777" w:rsidR="000B4C88" w:rsidRPr="003A52A5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075A7F32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35CE51DE" w14:textId="585A8EC0" w:rsidR="00D96435" w:rsidRPr="003A52A5" w:rsidRDefault="00492C72" w:rsidP="00492C72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92C72"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  <w:t>Horas consultorio</w:t>
            </w:r>
            <w:bookmarkStart w:id="0" w:name="_GoBack"/>
            <w:bookmarkEnd w:id="0"/>
          </w:p>
        </w:tc>
      </w:tr>
      <w:tr w:rsidR="00EB3FC1" w:rsidRPr="003B0757" w14:paraId="7A994A84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5380C7AF" w14:textId="77777777" w:rsidR="00EB3FC1" w:rsidRPr="003A52A5" w:rsidRDefault="00EB3FC1" w:rsidP="00EB3FC1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E796B4E" w14:textId="77777777" w:rsidR="00EB3FC1" w:rsidRPr="00EB3FC1" w:rsidRDefault="00EB3FC1" w:rsidP="00EB3FC1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CCINSHAE. Inf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, 202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</w:p>
          <w:p w14:paraId="631643EF" w14:textId="77777777" w:rsidR="00415144" w:rsidRP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15144">
              <w:rPr>
                <w:rFonts w:ascii="Montserrat" w:hAnsi="Montserrat" w:cs="Arial"/>
                <w:bCs/>
                <w:sz w:val="20"/>
                <w:szCs w:val="20"/>
              </w:rPr>
              <w:t>Índice de utilización de consultorio</w:t>
            </w:r>
          </w:p>
          <w:p w14:paraId="6839154B" w14:textId="77777777" w:rsidR="009117A0" w:rsidRPr="003B122A" w:rsidRDefault="009117A0" w:rsidP="009117A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B122A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</w:t>
            </w:r>
            <w:r w:rsidRPr="003B122A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Pr="003B122A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https://ccinshae.gob.mx/DCPE/E023/Índice de utilización de consultorio</w:t>
            </w:r>
          </w:p>
          <w:p w14:paraId="70F2C68B" w14:textId="77777777" w:rsidR="00EB3FC1" w:rsidRPr="003A52A5" w:rsidRDefault="00EB3FC1" w:rsidP="00EB3FC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2CB7BCB5" w14:textId="77777777" w:rsidR="00EB3FC1" w:rsidRPr="003A52A5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1FCF291F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69695B08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9D63AC5" w14:textId="77777777" w:rsidR="00EB3FC1" w:rsidRPr="003A52A5" w:rsidRDefault="00415144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Horas consultorio</w:t>
            </w:r>
          </w:p>
        </w:tc>
      </w:tr>
      <w:tr w:rsidR="00EB3FC1" w:rsidRPr="003B0757" w14:paraId="7817B663" w14:textId="77777777" w:rsidTr="003B0757">
        <w:trPr>
          <w:trHeight w:val="483"/>
        </w:trPr>
        <w:tc>
          <w:tcPr>
            <w:tcW w:w="6031" w:type="dxa"/>
            <w:gridSpan w:val="16"/>
          </w:tcPr>
          <w:p w14:paraId="65CC9792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74DFB259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44C9F94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36C862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4562BDCA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EB3FC1" w:rsidRPr="003B0757" w14:paraId="3D26410D" w14:textId="77777777" w:rsidTr="003B0757">
        <w:trPr>
          <w:trHeight w:val="483"/>
        </w:trPr>
        <w:tc>
          <w:tcPr>
            <w:tcW w:w="6031" w:type="dxa"/>
            <w:gridSpan w:val="16"/>
          </w:tcPr>
          <w:p w14:paraId="40BCE329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296364A7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65191C7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F657A6A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4315FA0B" w14:textId="77777777" w:rsidR="00EB3FC1" w:rsidRPr="003A52A5" w:rsidRDefault="00EB3FC1" w:rsidP="00EB3FC1">
            <w:pPr>
              <w:rPr>
                <w:rFonts w:ascii="Montserrat" w:hAnsi="Montserrat" w:cs="Arial"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sz w:val="20"/>
                <w:szCs w:val="20"/>
              </w:rPr>
              <w:t>Marzo 202</w:t>
            </w: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Pr="003A52A5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EB3FC1" w:rsidRPr="003B0757" w14:paraId="62632463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7F9A6D61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EB3FC1" w:rsidRPr="003B0757" w14:paraId="246113C0" w14:textId="77777777" w:rsidTr="003B0757">
        <w:trPr>
          <w:trHeight w:val="503"/>
        </w:trPr>
        <w:tc>
          <w:tcPr>
            <w:tcW w:w="4111" w:type="dxa"/>
            <w:gridSpan w:val="6"/>
          </w:tcPr>
          <w:p w14:paraId="1077D770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6090A59F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282EBEF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EB3FC1" w:rsidRPr="003B0757" w14:paraId="603AC928" w14:textId="77777777" w:rsidTr="003B0757">
        <w:trPr>
          <w:trHeight w:val="255"/>
        </w:trPr>
        <w:tc>
          <w:tcPr>
            <w:tcW w:w="4111" w:type="dxa"/>
            <w:gridSpan w:val="6"/>
          </w:tcPr>
          <w:p w14:paraId="3B3F768E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0CB3FC35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6FDF2FD4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2A2E4490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4A43E82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EB3FC1" w:rsidRPr="003B0757" w14:paraId="0DA66765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4C090FB8" w14:textId="77777777" w:rsidR="00EB3FC1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12ACE3A8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0257ECC5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43D94C7B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EB3FC1" w:rsidRPr="003B0757" w14:paraId="411E7093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0222EC21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0C96810" w14:textId="77777777" w:rsidR="00EB3FC1" w:rsidRDefault="00EB3FC1" w:rsidP="00EB3FC1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Para programar la meta de este indicador se deberá tomar en cuenta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19A9EF86" w14:textId="77777777" w:rsidR="00EB3FC1" w:rsidRDefault="00415144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</w:t>
            </w:r>
            <w:r w:rsidRPr="00415144">
              <w:rPr>
                <w:rFonts w:ascii="Montserrat" w:hAnsi="Montserrat" w:cs="Arial"/>
                <w:bCs/>
                <w:sz w:val="20"/>
                <w:szCs w:val="20"/>
              </w:rPr>
              <w:t>onsultas ocurridas en consultorios médicos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 Estas se definirán como toda consulta brindada tanto en consultorios de urgencias como de consulta externa</w:t>
            </w:r>
          </w:p>
          <w:p w14:paraId="27569EFF" w14:textId="77777777" w:rsidR="00415144" w:rsidRPr="003B0757" w:rsidRDefault="00415144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Para la variable 2, también se realizara con los consultorios tanto de urgencias como de consulta externa con los que se cuente</w:t>
            </w:r>
          </w:p>
        </w:tc>
      </w:tr>
    </w:tbl>
    <w:p w14:paraId="47D19A28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656E4D"/>
    <w:multiLevelType w:val="hybridMultilevel"/>
    <w:tmpl w:val="61A8DB5E"/>
    <w:lvl w:ilvl="0" w:tplc="79565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E232941"/>
    <w:multiLevelType w:val="hybridMultilevel"/>
    <w:tmpl w:val="AFCEED22"/>
    <w:lvl w:ilvl="0" w:tplc="6B8E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73316D"/>
    <w:multiLevelType w:val="hybridMultilevel"/>
    <w:tmpl w:val="A57294BA"/>
    <w:lvl w:ilvl="0" w:tplc="05480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070CF"/>
    <w:rsid w:val="000131F9"/>
    <w:rsid w:val="00013FE4"/>
    <w:rsid w:val="00014114"/>
    <w:rsid w:val="00014DFC"/>
    <w:rsid w:val="000161FE"/>
    <w:rsid w:val="0002007E"/>
    <w:rsid w:val="0002143B"/>
    <w:rsid w:val="0002557E"/>
    <w:rsid w:val="000279B2"/>
    <w:rsid w:val="000372AE"/>
    <w:rsid w:val="000408FC"/>
    <w:rsid w:val="0004104C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A0702"/>
    <w:rsid w:val="000A24E1"/>
    <w:rsid w:val="000A3F61"/>
    <w:rsid w:val="000B009A"/>
    <w:rsid w:val="000B0F78"/>
    <w:rsid w:val="000B339B"/>
    <w:rsid w:val="000B4337"/>
    <w:rsid w:val="000B4C88"/>
    <w:rsid w:val="000C6ACA"/>
    <w:rsid w:val="000D0CA2"/>
    <w:rsid w:val="000D13B6"/>
    <w:rsid w:val="000D3ED4"/>
    <w:rsid w:val="000D4D17"/>
    <w:rsid w:val="000D7076"/>
    <w:rsid w:val="000E1513"/>
    <w:rsid w:val="000E3CC9"/>
    <w:rsid w:val="000E7ADE"/>
    <w:rsid w:val="000F55CE"/>
    <w:rsid w:val="00100AE9"/>
    <w:rsid w:val="00106690"/>
    <w:rsid w:val="00115C68"/>
    <w:rsid w:val="001202B7"/>
    <w:rsid w:val="00125E79"/>
    <w:rsid w:val="0012611A"/>
    <w:rsid w:val="00134A05"/>
    <w:rsid w:val="001422EF"/>
    <w:rsid w:val="00144B70"/>
    <w:rsid w:val="0014722D"/>
    <w:rsid w:val="001540A6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B02EE"/>
    <w:rsid w:val="001B43D0"/>
    <w:rsid w:val="001B4CA9"/>
    <w:rsid w:val="001B6401"/>
    <w:rsid w:val="001C1C58"/>
    <w:rsid w:val="001C2315"/>
    <w:rsid w:val="001C6123"/>
    <w:rsid w:val="001C78A9"/>
    <w:rsid w:val="001D103F"/>
    <w:rsid w:val="001D1B0E"/>
    <w:rsid w:val="001D42E4"/>
    <w:rsid w:val="001D717B"/>
    <w:rsid w:val="001D73C0"/>
    <w:rsid w:val="001E0819"/>
    <w:rsid w:val="001E29D2"/>
    <w:rsid w:val="001E5FC8"/>
    <w:rsid w:val="001E66E6"/>
    <w:rsid w:val="001F54C0"/>
    <w:rsid w:val="00202028"/>
    <w:rsid w:val="00202917"/>
    <w:rsid w:val="00215E4E"/>
    <w:rsid w:val="002173FA"/>
    <w:rsid w:val="0022102D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473D4"/>
    <w:rsid w:val="00255AFA"/>
    <w:rsid w:val="00256A6C"/>
    <w:rsid w:val="002571DF"/>
    <w:rsid w:val="00262170"/>
    <w:rsid w:val="00264DD5"/>
    <w:rsid w:val="0026713E"/>
    <w:rsid w:val="00270110"/>
    <w:rsid w:val="00272E74"/>
    <w:rsid w:val="00273959"/>
    <w:rsid w:val="0027555D"/>
    <w:rsid w:val="002763B1"/>
    <w:rsid w:val="0028088C"/>
    <w:rsid w:val="00284C01"/>
    <w:rsid w:val="00290AFC"/>
    <w:rsid w:val="002A1318"/>
    <w:rsid w:val="002A2CA7"/>
    <w:rsid w:val="002A7254"/>
    <w:rsid w:val="002B0C0B"/>
    <w:rsid w:val="002B1767"/>
    <w:rsid w:val="002B5933"/>
    <w:rsid w:val="002B78CF"/>
    <w:rsid w:val="002C102A"/>
    <w:rsid w:val="002D18E3"/>
    <w:rsid w:val="002D1DB8"/>
    <w:rsid w:val="002D696D"/>
    <w:rsid w:val="002E0C63"/>
    <w:rsid w:val="002E5808"/>
    <w:rsid w:val="002E5CAC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6FD3"/>
    <w:rsid w:val="0032799A"/>
    <w:rsid w:val="0033091B"/>
    <w:rsid w:val="003347D8"/>
    <w:rsid w:val="00337FA8"/>
    <w:rsid w:val="003402DA"/>
    <w:rsid w:val="0034185E"/>
    <w:rsid w:val="0034543F"/>
    <w:rsid w:val="00345B2D"/>
    <w:rsid w:val="00353BAB"/>
    <w:rsid w:val="0035449F"/>
    <w:rsid w:val="00360965"/>
    <w:rsid w:val="00364109"/>
    <w:rsid w:val="0036711F"/>
    <w:rsid w:val="003677F6"/>
    <w:rsid w:val="00372071"/>
    <w:rsid w:val="00374EB2"/>
    <w:rsid w:val="00377CFE"/>
    <w:rsid w:val="003809B8"/>
    <w:rsid w:val="00383B5E"/>
    <w:rsid w:val="00384C8A"/>
    <w:rsid w:val="00392A7D"/>
    <w:rsid w:val="0039461C"/>
    <w:rsid w:val="003A3330"/>
    <w:rsid w:val="003A33C5"/>
    <w:rsid w:val="003A52A5"/>
    <w:rsid w:val="003B04A2"/>
    <w:rsid w:val="003B0757"/>
    <w:rsid w:val="003B08E4"/>
    <w:rsid w:val="003B122A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707F"/>
    <w:rsid w:val="003F7343"/>
    <w:rsid w:val="004069EA"/>
    <w:rsid w:val="00407C34"/>
    <w:rsid w:val="0041514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7DF"/>
    <w:rsid w:val="004365B3"/>
    <w:rsid w:val="00437095"/>
    <w:rsid w:val="004420AD"/>
    <w:rsid w:val="004478B6"/>
    <w:rsid w:val="00451309"/>
    <w:rsid w:val="00451444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92C72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63900"/>
    <w:rsid w:val="00571F91"/>
    <w:rsid w:val="005742BD"/>
    <w:rsid w:val="005749AA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6150"/>
    <w:rsid w:val="005C65AB"/>
    <w:rsid w:val="005D193F"/>
    <w:rsid w:val="005D251C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2BC9"/>
    <w:rsid w:val="00615E49"/>
    <w:rsid w:val="00617F26"/>
    <w:rsid w:val="00622177"/>
    <w:rsid w:val="006236D8"/>
    <w:rsid w:val="0062536F"/>
    <w:rsid w:val="00626D92"/>
    <w:rsid w:val="00630D84"/>
    <w:rsid w:val="00631EF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C075C"/>
    <w:rsid w:val="006C07F5"/>
    <w:rsid w:val="006C3536"/>
    <w:rsid w:val="006C411A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43A4"/>
    <w:rsid w:val="006F6177"/>
    <w:rsid w:val="006F6E22"/>
    <w:rsid w:val="00701F10"/>
    <w:rsid w:val="00712663"/>
    <w:rsid w:val="00720F07"/>
    <w:rsid w:val="007246DD"/>
    <w:rsid w:val="007251BC"/>
    <w:rsid w:val="00727A47"/>
    <w:rsid w:val="00737B5E"/>
    <w:rsid w:val="00742DF7"/>
    <w:rsid w:val="007468E9"/>
    <w:rsid w:val="00751B9B"/>
    <w:rsid w:val="007522D5"/>
    <w:rsid w:val="0075368E"/>
    <w:rsid w:val="0075454A"/>
    <w:rsid w:val="00760043"/>
    <w:rsid w:val="00760ADC"/>
    <w:rsid w:val="00763562"/>
    <w:rsid w:val="007804AB"/>
    <w:rsid w:val="007933FD"/>
    <w:rsid w:val="007A01B3"/>
    <w:rsid w:val="007A1AE7"/>
    <w:rsid w:val="007A3C16"/>
    <w:rsid w:val="007B3171"/>
    <w:rsid w:val="007C13B1"/>
    <w:rsid w:val="007C201C"/>
    <w:rsid w:val="007E4BAB"/>
    <w:rsid w:val="007F0C2B"/>
    <w:rsid w:val="007F1819"/>
    <w:rsid w:val="007F269D"/>
    <w:rsid w:val="007F5A60"/>
    <w:rsid w:val="00802BAE"/>
    <w:rsid w:val="0081005C"/>
    <w:rsid w:val="00812545"/>
    <w:rsid w:val="008145DA"/>
    <w:rsid w:val="00814814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6140F"/>
    <w:rsid w:val="008614CC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17A0"/>
    <w:rsid w:val="009121DB"/>
    <w:rsid w:val="00921114"/>
    <w:rsid w:val="00922EB4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6780"/>
    <w:rsid w:val="00967CCF"/>
    <w:rsid w:val="00970073"/>
    <w:rsid w:val="00971822"/>
    <w:rsid w:val="00972221"/>
    <w:rsid w:val="00973CE3"/>
    <w:rsid w:val="009745FA"/>
    <w:rsid w:val="00977059"/>
    <w:rsid w:val="0098154A"/>
    <w:rsid w:val="00984AAE"/>
    <w:rsid w:val="009905FC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ED8"/>
    <w:rsid w:val="009E09C4"/>
    <w:rsid w:val="009E1033"/>
    <w:rsid w:val="009E752E"/>
    <w:rsid w:val="009F3BB0"/>
    <w:rsid w:val="009F3DC9"/>
    <w:rsid w:val="009F3FC1"/>
    <w:rsid w:val="009F607E"/>
    <w:rsid w:val="009F7EE4"/>
    <w:rsid w:val="00A01C62"/>
    <w:rsid w:val="00A02C2E"/>
    <w:rsid w:val="00A035E8"/>
    <w:rsid w:val="00A07FF0"/>
    <w:rsid w:val="00A102B5"/>
    <w:rsid w:val="00A12983"/>
    <w:rsid w:val="00A23FBF"/>
    <w:rsid w:val="00A25B4C"/>
    <w:rsid w:val="00A261C5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6840"/>
    <w:rsid w:val="00AE747A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2AD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80BF4"/>
    <w:rsid w:val="00C824A4"/>
    <w:rsid w:val="00C8359D"/>
    <w:rsid w:val="00C8671A"/>
    <w:rsid w:val="00C91434"/>
    <w:rsid w:val="00C9151A"/>
    <w:rsid w:val="00C91D56"/>
    <w:rsid w:val="00C92082"/>
    <w:rsid w:val="00C92264"/>
    <w:rsid w:val="00C9487D"/>
    <w:rsid w:val="00C95C47"/>
    <w:rsid w:val="00CA15B8"/>
    <w:rsid w:val="00CA17EE"/>
    <w:rsid w:val="00CA1B8C"/>
    <w:rsid w:val="00CA33B3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2AA0"/>
    <w:rsid w:val="00CF0840"/>
    <w:rsid w:val="00CF4479"/>
    <w:rsid w:val="00CF4CD4"/>
    <w:rsid w:val="00D01A6E"/>
    <w:rsid w:val="00D04B04"/>
    <w:rsid w:val="00D07142"/>
    <w:rsid w:val="00D076A7"/>
    <w:rsid w:val="00D116AF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5D53"/>
    <w:rsid w:val="00D36E16"/>
    <w:rsid w:val="00D409DD"/>
    <w:rsid w:val="00D43555"/>
    <w:rsid w:val="00D5103F"/>
    <w:rsid w:val="00D52B35"/>
    <w:rsid w:val="00D61076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36E1"/>
    <w:rsid w:val="00DD4CC6"/>
    <w:rsid w:val="00DE42EC"/>
    <w:rsid w:val="00DE4AD2"/>
    <w:rsid w:val="00DE60D6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FE9"/>
    <w:rsid w:val="00E769CC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B3FC1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5D55"/>
    <w:rsid w:val="00EE47E8"/>
    <w:rsid w:val="00EE5181"/>
    <w:rsid w:val="00EF01E1"/>
    <w:rsid w:val="00EF5391"/>
    <w:rsid w:val="00EF7928"/>
    <w:rsid w:val="00F01C0F"/>
    <w:rsid w:val="00F0278B"/>
    <w:rsid w:val="00F036D0"/>
    <w:rsid w:val="00F04FF2"/>
    <w:rsid w:val="00F069FA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A6872"/>
    <w:rsid w:val="00FB3835"/>
    <w:rsid w:val="00FB40B2"/>
    <w:rsid w:val="00FB553A"/>
    <w:rsid w:val="00FB65D5"/>
    <w:rsid w:val="00FC3CD6"/>
    <w:rsid w:val="00FC7AA6"/>
    <w:rsid w:val="00FD265D"/>
    <w:rsid w:val="00FD38B8"/>
    <w:rsid w:val="00FD5281"/>
    <w:rsid w:val="00FE0233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FF13A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A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CA11-BA27-4508-8993-872C4577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123</cp:lastModifiedBy>
  <cp:revision>15</cp:revision>
  <cp:lastPrinted>2018-06-13T18:09:00Z</cp:lastPrinted>
  <dcterms:created xsi:type="dcterms:W3CDTF">2025-08-05T18:32:00Z</dcterms:created>
  <dcterms:modified xsi:type="dcterms:W3CDTF">2026-02-12T16:24:00Z</dcterms:modified>
</cp:coreProperties>
</file>